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81" w:rsidRPr="00C109FF" w:rsidRDefault="00C05B81" w:rsidP="00C05B81">
      <w:pPr>
        <w:pStyle w:val="rvps7"/>
        <w:numPr>
          <w:ilvl w:val="0"/>
          <w:numId w:val="1"/>
        </w:numPr>
        <w:spacing w:before="0" w:beforeAutospacing="0" w:after="0" w:afterAutospacing="0"/>
        <w:ind w:left="0" w:firstLine="414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Восьма н</w:t>
      </w:r>
      <w:r w:rsidRPr="00C109FF">
        <w:rPr>
          <w:b/>
          <w:lang w:val="uk-UA"/>
        </w:rPr>
        <w:t>овел</w:t>
      </w:r>
      <w:r>
        <w:rPr>
          <w:b/>
          <w:lang w:val="uk-UA"/>
        </w:rPr>
        <w:t>а</w:t>
      </w:r>
      <w:r w:rsidRPr="00C109FF">
        <w:rPr>
          <w:b/>
          <w:lang w:val="uk-UA"/>
        </w:rPr>
        <w:t xml:space="preserve"> сімейного законодавства 2017:</w:t>
      </w:r>
      <w:r w:rsidRPr="00C109FF">
        <w:rPr>
          <w:color w:val="000000"/>
          <w:sz w:val="28"/>
          <w:lang w:val="uk-UA"/>
        </w:rPr>
        <w:t xml:space="preserve"> </w:t>
      </w:r>
      <w:r w:rsidRPr="00E57230">
        <w:rPr>
          <w:b/>
          <w:lang w:val="uk-UA"/>
        </w:rPr>
        <w:t>зміни у визначенні</w:t>
      </w:r>
      <w:r w:rsidRPr="00C109FF">
        <w:rPr>
          <w:b/>
          <w:color w:val="000000"/>
          <w:lang w:val="uk-UA"/>
        </w:rPr>
        <w:t xml:space="preserve"> заборгованості за аліментами, присудженими у частці від заробітку (доходу).</w:t>
      </w:r>
    </w:p>
    <w:p w:rsidR="00C05B81" w:rsidRDefault="00C05B81" w:rsidP="00C05B81">
      <w:pPr>
        <w:pStyle w:val="ListParagraph"/>
        <w:ind w:left="0" w:firstLine="414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C05B81" w:rsidRDefault="00C05B81" w:rsidP="00C05B81">
      <w:pPr>
        <w:pStyle w:val="ListParagraph"/>
        <w:ind w:left="0" w:firstLine="414"/>
        <w:jc w:val="both"/>
        <w:rPr>
          <w:rFonts w:ascii="Times New Roman" w:hAnsi="Times New Roman"/>
          <w:color w:val="000000"/>
          <w:sz w:val="24"/>
          <w:szCs w:val="24"/>
        </w:rPr>
      </w:pP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стягнення аліментів» № 4928 від 08.07.2016 (наб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уває 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чинності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08 липня 2017 року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) (надалі – Закон), розробником якого в тому числі виступала адвокат з сімейних справ,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к.ю.н</w:t>
      </w:r>
      <w:proofErr w:type="spellEnd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., сімейний медіатор, Голова Комітету сімейного права Асоціації адвокатів України Ганна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Гаро</w:t>
      </w:r>
      <w:proofErr w:type="spellEnd"/>
      <w:r w:rsidRPr="00E925F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09FF">
        <w:rPr>
          <w:rFonts w:ascii="Times New Roman" w:hAnsi="Times New Roman"/>
          <w:sz w:val="24"/>
          <w:szCs w:val="24"/>
          <w:shd w:val="clear" w:color="auto" w:fill="FFFFFF"/>
        </w:rPr>
        <w:t xml:space="preserve">було внесено зміни до ст. 195 Сімейного кодексу України з приводу визначення </w:t>
      </w:r>
      <w:r w:rsidRPr="00C109FF">
        <w:rPr>
          <w:rFonts w:ascii="Times New Roman" w:hAnsi="Times New Roman"/>
          <w:color w:val="000000"/>
          <w:sz w:val="24"/>
          <w:szCs w:val="24"/>
        </w:rPr>
        <w:t>заборгованості за аліментами, присудженими у частці від заробітку (доходу).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9"/>
        <w:gridCol w:w="4575"/>
        <w:tblGridChange w:id="0">
          <w:tblGrid>
            <w:gridCol w:w="4559"/>
            <w:gridCol w:w="4575"/>
          </w:tblGrid>
        </w:tblGridChange>
      </w:tblGrid>
      <w:tr w:rsidR="00C05B81" w:rsidRPr="004B4944" w:rsidTr="00C05B81">
        <w:tc>
          <w:tcPr>
            <w:tcW w:w="4559" w:type="dxa"/>
          </w:tcPr>
          <w:p w:rsidR="00C05B81" w:rsidRPr="004B4944" w:rsidRDefault="00C05B81" w:rsidP="00C05B81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49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Як було?</w:t>
            </w:r>
          </w:p>
        </w:tc>
        <w:tc>
          <w:tcPr>
            <w:tcW w:w="4575" w:type="dxa"/>
          </w:tcPr>
          <w:p w:rsidR="00C05B81" w:rsidRPr="004B4944" w:rsidRDefault="00C05B81" w:rsidP="00C05B81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1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49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Як буде?</w:t>
            </w:r>
          </w:p>
        </w:tc>
      </w:tr>
      <w:tr w:rsidR="00C05B81" w:rsidRPr="004B4944" w:rsidTr="00C05B81">
        <w:tc>
          <w:tcPr>
            <w:tcW w:w="4559" w:type="dxa"/>
          </w:tcPr>
          <w:p w:rsidR="00C05B81" w:rsidRPr="004B4944" w:rsidRDefault="00C05B81" w:rsidP="00C05B8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14"/>
              <w:jc w:val="both"/>
              <w:textAlignment w:val="baseline"/>
              <w:rPr>
                <w:color w:val="000000"/>
                <w:lang w:val="uk-UA"/>
              </w:rPr>
            </w:pPr>
            <w:r w:rsidRPr="004B4944">
              <w:rPr>
                <w:color w:val="000000"/>
                <w:lang w:val="uk-UA"/>
              </w:rPr>
              <w:t xml:space="preserve">Стаття 195 Сімейного кодексу України передбачала, що заборгованість за аліментами, присудженими у частці від заробітку (доходу), визначається виходячи з фактичного заробітку (доходу), який платник аліментів одержував за час, протягом якого не провадилося їх стягнення. </w:t>
            </w:r>
          </w:p>
          <w:p w:rsidR="00C05B81" w:rsidRPr="004B4944" w:rsidRDefault="00C05B81" w:rsidP="00C05B8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14"/>
              <w:jc w:val="both"/>
              <w:textAlignment w:val="baseline"/>
              <w:rPr>
                <w:color w:val="000000"/>
                <w:lang w:val="uk-UA"/>
              </w:rPr>
            </w:pPr>
            <w:r w:rsidRPr="004B4944">
              <w:rPr>
                <w:color w:val="000000"/>
                <w:lang w:val="uk-UA"/>
              </w:rPr>
              <w:t>Якщо платник аліментів не працював на час виникнення заборгованості, але працює на час визначення її розміру, заборгованість визначається із заробітку (доходу), який він одержує.</w:t>
            </w:r>
          </w:p>
          <w:p w:rsidR="00C05B81" w:rsidRPr="004B4944" w:rsidRDefault="00C05B81" w:rsidP="00C05B81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14"/>
              <w:jc w:val="both"/>
              <w:textAlignment w:val="baseline"/>
              <w:rPr>
                <w:color w:val="000000"/>
                <w:lang w:val="uk-UA"/>
              </w:rPr>
            </w:pPr>
            <w:r w:rsidRPr="004B4944">
              <w:rPr>
                <w:color w:val="000000"/>
                <w:lang w:val="uk-UA"/>
              </w:rPr>
              <w:t>Якщо платник аліментів не працював на час виникнення заборгованості і не працює на час визначення її розміру, вона обчислюється виходячи із середньої заробітної плати працівника для даної місцевості.</w:t>
            </w:r>
          </w:p>
          <w:p w:rsidR="00C05B81" w:rsidRPr="004B4944" w:rsidRDefault="00C05B81" w:rsidP="00C05B81">
            <w:pPr>
              <w:pStyle w:val="ListParagraph"/>
              <w:ind w:left="0" w:firstLine="41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75" w:type="dxa"/>
          </w:tcPr>
          <w:p w:rsidR="00C05B81" w:rsidRPr="004B4944" w:rsidRDefault="00C05B81" w:rsidP="00C05B81">
            <w:pPr>
              <w:pStyle w:val="StyleZakonu"/>
              <w:spacing w:after="0" w:line="276" w:lineRule="auto"/>
              <w:ind w:firstLine="414"/>
              <w:rPr>
                <w:b/>
                <w:sz w:val="24"/>
                <w:szCs w:val="24"/>
              </w:rPr>
            </w:pPr>
            <w:r w:rsidRPr="004B4944">
              <w:rPr>
                <w:sz w:val="24"/>
                <w:szCs w:val="24"/>
                <w:shd w:val="clear" w:color="auto" w:fill="FFFFFF"/>
              </w:rPr>
              <w:t>До ч.1 ст. 1</w:t>
            </w:r>
            <w:r w:rsidRPr="004B4944">
              <w:rPr>
                <w:color w:val="000000"/>
                <w:sz w:val="24"/>
                <w:szCs w:val="24"/>
              </w:rPr>
              <w:t xml:space="preserve">95 Сімейного кодексу України було додано положення, відповідно до якого </w:t>
            </w:r>
            <w:r w:rsidRPr="004B4944">
              <w:rPr>
                <w:color w:val="000000"/>
                <w:sz w:val="24"/>
                <w:szCs w:val="24"/>
                <w:shd w:val="clear" w:color="auto" w:fill="FFFFFF"/>
              </w:rPr>
              <w:t>заборгованість за аліментами, присудженими у частці від заробітку (доходу), визначається виходячи з фактичного заробітку (доходу), який платник аліментів одержував за час, протягом якого не провадилося їх стягнення</w:t>
            </w:r>
            <w:r w:rsidRPr="004B4944">
              <w:rPr>
                <w:rStyle w:val="Typewriter"/>
                <w:bCs/>
                <w:sz w:val="24"/>
                <w:szCs w:val="24"/>
              </w:rPr>
              <w:t xml:space="preserve">, </w:t>
            </w:r>
            <w:r w:rsidRPr="004B4944">
              <w:rPr>
                <w:b/>
                <w:color w:val="000000"/>
                <w:sz w:val="24"/>
                <w:szCs w:val="24"/>
                <w:shd w:val="clear" w:color="auto" w:fill="FFFFFF"/>
              </w:rPr>
              <w:t>незалежно від того, одержано такий заробіток (дохід) в Україні чи за кордоном.</w:t>
            </w:r>
          </w:p>
          <w:p w:rsidR="00C05B81" w:rsidRPr="004B4944" w:rsidRDefault="00C05B81" w:rsidP="00C05B81">
            <w:pPr>
              <w:pStyle w:val="rvps7"/>
              <w:spacing w:before="0" w:beforeAutospacing="0" w:after="0" w:afterAutospacing="0" w:line="276" w:lineRule="auto"/>
              <w:ind w:firstLine="414"/>
              <w:jc w:val="both"/>
              <w:rPr>
                <w:shd w:val="clear" w:color="auto" w:fill="FFFFFF"/>
              </w:rPr>
            </w:pPr>
            <w:r w:rsidRPr="00C05B81">
              <w:rPr>
                <w:rStyle w:val="Typewriter"/>
                <w:rFonts w:ascii="Times New Roman" w:hAnsi="Times New Roman"/>
                <w:bCs/>
                <w:sz w:val="24"/>
                <w:lang w:val="uk-UA"/>
              </w:rPr>
              <w:t xml:space="preserve">В частині 2 </w:t>
            </w:r>
            <w:r w:rsidRPr="00C05B81">
              <w:rPr>
                <w:shd w:val="clear" w:color="auto" w:fill="FFFFFF"/>
                <w:lang w:val="uk-UA"/>
              </w:rPr>
              <w:t>ст. 1</w:t>
            </w:r>
            <w:r w:rsidRPr="00C05B81">
              <w:rPr>
                <w:color w:val="000000"/>
                <w:lang w:val="uk-UA"/>
              </w:rPr>
              <w:t xml:space="preserve">95 Сімейного кодексу України Законом </w:t>
            </w:r>
            <w:r w:rsidRPr="00C05B81">
              <w:rPr>
                <w:rStyle w:val="Typewriter"/>
                <w:rFonts w:ascii="Times New Roman" w:hAnsi="Times New Roman"/>
                <w:bCs/>
                <w:sz w:val="24"/>
                <w:lang w:val="uk-UA"/>
              </w:rPr>
              <w:t>чітко визначено, що заборгованість за аліментами платника аліментів,</w:t>
            </w:r>
            <w:r w:rsidRPr="004B4944">
              <w:rPr>
                <w:rStyle w:val="Typewriter"/>
                <w:bCs/>
                <w:lang w:val="uk-UA"/>
              </w:rPr>
              <w:t xml:space="preserve"> </w:t>
            </w:r>
            <w:r w:rsidRPr="004B4944">
              <w:rPr>
                <w:b/>
                <w:color w:val="000000"/>
                <w:shd w:val="clear" w:color="auto" w:fill="FFFFFF"/>
                <w:lang w:val="uk-UA"/>
              </w:rPr>
              <w:t>який не працював на час виникнення заборгованості</w:t>
            </w:r>
            <w:r w:rsidRPr="004B4944">
              <w:rPr>
                <w:color w:val="000000"/>
                <w:shd w:val="clear" w:color="auto" w:fill="FFFFFF"/>
                <w:lang w:val="uk-UA"/>
              </w:rPr>
              <w:t xml:space="preserve"> або </w:t>
            </w:r>
            <w:r w:rsidRPr="004B4944">
              <w:rPr>
                <w:b/>
                <w:color w:val="000000"/>
                <w:shd w:val="clear" w:color="auto" w:fill="FFFFFF"/>
                <w:lang w:val="uk-UA"/>
              </w:rPr>
              <w:t xml:space="preserve">є фізичною особою – підприємцем і перебуває на спрощеній системі оподаткування, </w:t>
            </w:r>
            <w:r w:rsidRPr="004B4944">
              <w:rPr>
                <w:color w:val="000000"/>
                <w:shd w:val="clear" w:color="auto" w:fill="FFFFFF"/>
                <w:lang w:val="uk-UA"/>
              </w:rPr>
              <w:t xml:space="preserve">або </w:t>
            </w:r>
            <w:r w:rsidRPr="004B4944">
              <w:rPr>
                <w:b/>
                <w:color w:val="000000"/>
                <w:shd w:val="clear" w:color="auto" w:fill="FFFFFF"/>
                <w:lang w:val="uk-UA"/>
              </w:rPr>
              <w:t xml:space="preserve">є громадянином України, </w:t>
            </w:r>
            <w:r w:rsidRPr="004B4944">
              <w:rPr>
                <w:b/>
                <w:shd w:val="clear" w:color="auto" w:fill="FFFFFF"/>
                <w:lang w:val="uk-UA"/>
              </w:rPr>
              <w:t xml:space="preserve">який одержує заробіток (дохід) у державі, </w:t>
            </w:r>
            <w:r w:rsidRPr="004B4944">
              <w:rPr>
                <w:b/>
                <w:lang w:val="uk-UA"/>
              </w:rPr>
              <w:t>з якою Україна не має договору про правову допомогу,</w:t>
            </w:r>
            <w:r w:rsidRPr="004B4944">
              <w:rPr>
                <w:lang w:val="uk-UA"/>
              </w:rPr>
              <w:t xml:space="preserve"> </w:t>
            </w:r>
            <w:r w:rsidRPr="004B4944">
              <w:rPr>
                <w:b/>
                <w:color w:val="000000"/>
                <w:shd w:val="clear" w:color="auto" w:fill="FFFFFF"/>
                <w:lang w:val="uk-UA"/>
              </w:rPr>
              <w:t xml:space="preserve">визначається виходячи із середньої заробітної плати працівника для даної місцевості. </w:t>
            </w:r>
          </w:p>
        </w:tc>
      </w:tr>
    </w:tbl>
    <w:p w:rsidR="00C05B81" w:rsidRPr="00C109FF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  <w:bookmarkStart w:id="1" w:name="n1006"/>
      <w:bookmarkStart w:id="2" w:name="n1007"/>
      <w:bookmarkStart w:id="3" w:name="n1008"/>
      <w:bookmarkEnd w:id="1"/>
      <w:bookmarkEnd w:id="2"/>
      <w:bookmarkEnd w:id="3"/>
    </w:p>
    <w:p w:rsidR="00C05B81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  <w:r w:rsidRPr="00C109FF">
        <w:rPr>
          <w:b/>
          <w:shd w:val="clear" w:color="auto" w:fill="FFFFFF"/>
          <w:lang w:val="uk-UA"/>
        </w:rPr>
        <w:t>Приклад</w:t>
      </w:r>
      <w:r>
        <w:rPr>
          <w:b/>
          <w:shd w:val="clear" w:color="auto" w:fill="FFFFFF"/>
          <w:lang w:val="uk-UA"/>
        </w:rPr>
        <w:t xml:space="preserve"> 1</w:t>
      </w:r>
      <w:r w:rsidRPr="00C109FF">
        <w:rPr>
          <w:b/>
          <w:shd w:val="clear" w:color="auto" w:fill="FFFFFF"/>
          <w:lang w:val="uk-UA"/>
        </w:rPr>
        <w:t xml:space="preserve">: </w:t>
      </w:r>
    </w:p>
    <w:p w:rsidR="00C05B81" w:rsidRPr="004D4AFB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t>У раз</w:t>
      </w:r>
      <w:r>
        <w:rPr>
          <w:color w:val="000000"/>
          <w:shd w:val="clear" w:color="auto" w:fill="FFFFFF"/>
          <w:lang w:val="uk-UA"/>
        </w:rPr>
        <w:t>і якщо п</w:t>
      </w:r>
      <w:r>
        <w:rPr>
          <w:color w:val="000000"/>
          <w:shd w:val="clear" w:color="auto" w:fill="FFFFFF"/>
        </w:rPr>
        <w:t>латник аліментів не працював на час виникнення заборгованості, але на час визначення її розміру державним виконавцем уже працевлаштувався, заборгованість визначалась  із заробітку (доходу), який він</w:t>
      </w:r>
      <w:r>
        <w:rPr>
          <w:color w:val="000000"/>
          <w:shd w:val="clear" w:color="auto" w:fill="FFFFFF"/>
          <w:lang w:val="uk-UA"/>
        </w:rPr>
        <w:t xml:space="preserve"> почав</w:t>
      </w:r>
      <w:r>
        <w:rPr>
          <w:color w:val="000000"/>
          <w:shd w:val="clear" w:color="auto" w:fill="FFFFFF"/>
        </w:rPr>
        <w:t xml:space="preserve"> о</w:t>
      </w:r>
      <w:r>
        <w:rPr>
          <w:color w:val="000000"/>
          <w:shd w:val="clear" w:color="auto" w:fill="FFFFFF"/>
          <w:lang w:val="uk-UA"/>
        </w:rPr>
        <w:t>тримувати</w:t>
      </w:r>
      <w:r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uk-UA"/>
        </w:rPr>
        <w:t xml:space="preserve"> Проте сума аліментів з безробітного має рахуватися виходячи з середньої заробітної плати для відповідної місцевості, що значно більше зазвичай становить в порівнянні з вирахуванням аліментів з офіційної зокрема мінімальної заробітної плати (для Києва на одну дитину це приблизно 2500,00 з безробітного та 800,00 як ¼ з мінімальної заробітної плати). У відповідності до </w:t>
      </w:r>
      <w:r>
        <w:rPr>
          <w:color w:val="000000"/>
          <w:shd w:val="clear" w:color="auto" w:fill="FFFFFF"/>
          <w:lang w:val="uk-UA"/>
        </w:rPr>
        <w:lastRenderedPageBreak/>
        <w:t>прийнятих змінам у такому випадку визначення заборгованості за аліментами за період безробіття буде відбуватися виходячи із середньої заробітної плати такого платника аліментів для даної місцевості.</w:t>
      </w:r>
    </w:p>
    <w:p w:rsidR="00C05B81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</w:p>
    <w:p w:rsidR="00C05B81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  <w:r w:rsidRPr="00C109FF">
        <w:rPr>
          <w:b/>
          <w:shd w:val="clear" w:color="auto" w:fill="FFFFFF"/>
          <w:lang w:val="uk-UA"/>
        </w:rPr>
        <w:t>Приклад</w:t>
      </w:r>
      <w:r>
        <w:rPr>
          <w:b/>
          <w:shd w:val="clear" w:color="auto" w:fill="FFFFFF"/>
          <w:lang w:val="uk-UA"/>
        </w:rPr>
        <w:t xml:space="preserve"> 2</w:t>
      </w:r>
      <w:r w:rsidRPr="00C109FF">
        <w:rPr>
          <w:b/>
          <w:shd w:val="clear" w:color="auto" w:fill="FFFFFF"/>
          <w:lang w:val="uk-UA"/>
        </w:rPr>
        <w:t xml:space="preserve">: </w:t>
      </w:r>
    </w:p>
    <w:p w:rsidR="00C05B81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shd w:val="clear" w:color="auto" w:fill="FFFFFF"/>
          <w:lang w:val="uk-UA"/>
        </w:rPr>
      </w:pPr>
      <w:r w:rsidRPr="00C109FF">
        <w:rPr>
          <w:shd w:val="clear" w:color="auto" w:fill="FFFFFF"/>
          <w:lang w:val="uk-UA"/>
        </w:rPr>
        <w:t>Здійснюючи підприємницьку діяльність на свій ризик та перебуваючи на спрощеній системі оподаткування</w:t>
      </w:r>
      <w:r>
        <w:rPr>
          <w:shd w:val="clear" w:color="auto" w:fill="FFFFFF"/>
          <w:lang w:val="uk-UA"/>
        </w:rPr>
        <w:t xml:space="preserve"> (сплачуючи єдиний податок)</w:t>
      </w:r>
      <w:r w:rsidRPr="00C109FF">
        <w:rPr>
          <w:shd w:val="clear" w:color="auto" w:fill="FFFFFF"/>
          <w:lang w:val="uk-UA"/>
        </w:rPr>
        <w:t xml:space="preserve"> платник аліментів </w:t>
      </w:r>
      <w:r>
        <w:rPr>
          <w:shd w:val="clear" w:color="auto" w:fill="FFFFFF"/>
          <w:lang w:val="uk-UA"/>
        </w:rPr>
        <w:t xml:space="preserve">не звітує до органів ДПС про </w:t>
      </w:r>
      <w:r w:rsidRPr="00C109FF">
        <w:rPr>
          <w:shd w:val="clear" w:color="auto" w:fill="FFFFFF"/>
          <w:lang w:val="uk-UA"/>
        </w:rPr>
        <w:t>«чист</w:t>
      </w:r>
      <w:r>
        <w:rPr>
          <w:shd w:val="clear" w:color="auto" w:fill="FFFFFF"/>
          <w:lang w:val="uk-UA"/>
        </w:rPr>
        <w:t>ий</w:t>
      </w:r>
      <w:r w:rsidRPr="00C109FF">
        <w:rPr>
          <w:shd w:val="clear" w:color="auto" w:fill="FFFFFF"/>
          <w:lang w:val="uk-UA"/>
        </w:rPr>
        <w:t>» дох</w:t>
      </w:r>
      <w:r>
        <w:rPr>
          <w:shd w:val="clear" w:color="auto" w:fill="FFFFFF"/>
          <w:lang w:val="uk-UA"/>
        </w:rPr>
        <w:t>і</w:t>
      </w:r>
      <w:r w:rsidRPr="00C109FF">
        <w:rPr>
          <w:shd w:val="clear" w:color="auto" w:fill="FFFFFF"/>
          <w:lang w:val="uk-UA"/>
        </w:rPr>
        <w:t>д</w:t>
      </w:r>
      <w:r>
        <w:rPr>
          <w:shd w:val="clear" w:color="auto" w:fill="FFFFFF"/>
          <w:lang w:val="uk-UA"/>
        </w:rPr>
        <w:t>, з</w:t>
      </w:r>
      <w:r w:rsidRPr="00C109FF">
        <w:rPr>
          <w:shd w:val="clear" w:color="auto" w:fill="FFFFFF"/>
          <w:lang w:val="uk-UA"/>
        </w:rPr>
        <w:t xml:space="preserve"> якого держа</w:t>
      </w:r>
      <w:r>
        <w:rPr>
          <w:shd w:val="clear" w:color="auto" w:fill="FFFFFF"/>
          <w:lang w:val="uk-UA"/>
        </w:rPr>
        <w:t>в</w:t>
      </w:r>
      <w:r w:rsidRPr="00C109FF">
        <w:rPr>
          <w:shd w:val="clear" w:color="auto" w:fill="FFFFFF"/>
          <w:lang w:val="uk-UA"/>
        </w:rPr>
        <w:t xml:space="preserve">ний виконавець може вирахувати </w:t>
      </w:r>
      <w:r>
        <w:rPr>
          <w:shd w:val="clear" w:color="auto" w:fill="FFFFFF"/>
          <w:lang w:val="uk-UA"/>
        </w:rPr>
        <w:t xml:space="preserve">конкретну </w:t>
      </w:r>
      <w:r w:rsidRPr="00C109FF">
        <w:rPr>
          <w:shd w:val="clear" w:color="auto" w:fill="FFFFFF"/>
          <w:lang w:val="uk-UA"/>
        </w:rPr>
        <w:t>суму аліментів</w:t>
      </w:r>
      <w:r>
        <w:rPr>
          <w:shd w:val="clear" w:color="auto" w:fill="FFFFFF"/>
          <w:lang w:val="uk-UA"/>
        </w:rPr>
        <w:t>, призначену судом у частці від доходу. У</w:t>
      </w:r>
      <w:r w:rsidRPr="00C109FF">
        <w:rPr>
          <w:shd w:val="clear" w:color="auto" w:fill="FFFFFF"/>
          <w:lang w:val="uk-UA"/>
        </w:rPr>
        <w:t xml:space="preserve"> зв’язку з чим </w:t>
      </w:r>
      <w:r>
        <w:rPr>
          <w:shd w:val="clear" w:color="auto" w:fill="FFFFFF"/>
          <w:lang w:val="uk-UA"/>
        </w:rPr>
        <w:t xml:space="preserve">заборгованість у таких випадках рахується за практикою ДВС </w:t>
      </w:r>
      <w:r w:rsidRPr="00C109FF">
        <w:rPr>
          <w:shd w:val="clear" w:color="auto" w:fill="FFFFFF"/>
          <w:lang w:val="uk-UA"/>
        </w:rPr>
        <w:t xml:space="preserve">виходячи із середньої заробітної плати працівника за місцем свого проживання. </w:t>
      </w:r>
      <w:r>
        <w:rPr>
          <w:shd w:val="clear" w:color="auto" w:fill="FFFFFF"/>
          <w:lang w:val="uk-UA"/>
        </w:rPr>
        <w:t xml:space="preserve">Проте між ДВС та стягувачами, стягувачами та боржниками постійно виникають спори щодо суми доходу ФОП – єдинника з якої слід вираховувати аліменти в даному випадку. </w:t>
      </w:r>
    </w:p>
    <w:p w:rsidR="00C05B81" w:rsidRPr="00942060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</w:p>
    <w:p w:rsidR="00C05B81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  <w:r w:rsidRPr="00942060">
        <w:rPr>
          <w:b/>
          <w:shd w:val="clear" w:color="auto" w:fill="FFFFFF"/>
          <w:lang w:val="uk-UA"/>
        </w:rPr>
        <w:t>Приклад 3:</w:t>
      </w:r>
    </w:p>
    <w:p w:rsidR="00C05B81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Велику складність викликають питання збору доказів розміру офіційних чи неофіційних доходів </w:t>
      </w:r>
      <w:r w:rsidRPr="004348AA">
        <w:rPr>
          <w:shd w:val="clear" w:color="auto" w:fill="FFFFFF"/>
          <w:lang w:val="uk-UA"/>
        </w:rPr>
        <w:t xml:space="preserve">платника аліментів, </w:t>
      </w:r>
      <w:r>
        <w:rPr>
          <w:shd w:val="clear" w:color="auto" w:fill="FFFFFF"/>
          <w:lang w:val="uk-UA"/>
        </w:rPr>
        <w:t xml:space="preserve">який </w:t>
      </w:r>
      <w:r w:rsidRPr="004348AA">
        <w:rPr>
          <w:shd w:val="clear" w:color="auto" w:fill="FFFFFF"/>
          <w:lang w:val="uk-UA"/>
        </w:rPr>
        <w:t>отримує</w:t>
      </w:r>
      <w:r>
        <w:rPr>
          <w:shd w:val="clear" w:color="auto" w:fill="FFFFFF"/>
          <w:lang w:val="uk-UA"/>
        </w:rPr>
        <w:t xml:space="preserve"> заробіток (</w:t>
      </w:r>
      <w:r w:rsidRPr="004348AA">
        <w:rPr>
          <w:shd w:val="clear" w:color="auto" w:fill="FFFFFF"/>
          <w:lang w:val="uk-UA"/>
        </w:rPr>
        <w:t>дохід</w:t>
      </w:r>
      <w:r>
        <w:rPr>
          <w:shd w:val="clear" w:color="auto" w:fill="FFFFFF"/>
          <w:lang w:val="uk-UA"/>
        </w:rPr>
        <w:t>)</w:t>
      </w:r>
      <w:r w:rsidRPr="004348A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в іноземній державі, з якою Україна не має договору про правову допомогу. Так само щодо обрахування суми заборгованості. Відповідно до прийнятих змін стягувачам не потрібно більше ламати голову та витрачати кошти на іноземних адвокатів - </w:t>
      </w:r>
      <w:r w:rsidRPr="004348AA">
        <w:rPr>
          <w:shd w:val="clear" w:color="auto" w:fill="FFFFFF"/>
          <w:lang w:val="uk-UA"/>
        </w:rPr>
        <w:t>заборгованість з</w:t>
      </w:r>
      <w:r>
        <w:rPr>
          <w:shd w:val="clear" w:color="auto" w:fill="FFFFFF"/>
          <w:lang w:val="uk-UA"/>
        </w:rPr>
        <w:t>і сплати</w:t>
      </w:r>
      <w:r w:rsidRPr="004348AA">
        <w:rPr>
          <w:shd w:val="clear" w:color="auto" w:fill="FFFFFF"/>
          <w:lang w:val="uk-UA"/>
        </w:rPr>
        <w:t xml:space="preserve"> аліментів платника, </w:t>
      </w:r>
      <w:r>
        <w:rPr>
          <w:shd w:val="clear" w:color="auto" w:fill="FFFFFF"/>
          <w:lang w:val="uk-UA"/>
        </w:rPr>
        <w:t xml:space="preserve">який </w:t>
      </w:r>
      <w:r w:rsidRPr="004348AA">
        <w:rPr>
          <w:shd w:val="clear" w:color="auto" w:fill="FFFFFF"/>
          <w:lang w:val="uk-UA"/>
        </w:rPr>
        <w:t>отримує</w:t>
      </w:r>
      <w:r>
        <w:rPr>
          <w:shd w:val="clear" w:color="auto" w:fill="FFFFFF"/>
          <w:lang w:val="uk-UA"/>
        </w:rPr>
        <w:t xml:space="preserve"> заробіток (</w:t>
      </w:r>
      <w:r w:rsidRPr="004348AA">
        <w:rPr>
          <w:shd w:val="clear" w:color="auto" w:fill="FFFFFF"/>
          <w:lang w:val="uk-UA"/>
        </w:rPr>
        <w:t>дохід</w:t>
      </w:r>
      <w:r>
        <w:rPr>
          <w:shd w:val="clear" w:color="auto" w:fill="FFFFFF"/>
          <w:lang w:val="uk-UA"/>
        </w:rPr>
        <w:t>)</w:t>
      </w:r>
      <w:r w:rsidRPr="004348AA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в іноземній державі, з якою Україна не має договору про правову допомогу,</w:t>
      </w:r>
      <w:r w:rsidRPr="004348AA">
        <w:rPr>
          <w:shd w:val="clear" w:color="auto" w:fill="FFFFFF"/>
          <w:lang w:val="uk-UA"/>
        </w:rPr>
        <w:t xml:space="preserve"> визнача</w:t>
      </w:r>
      <w:r>
        <w:rPr>
          <w:shd w:val="clear" w:color="auto" w:fill="FFFFFF"/>
          <w:lang w:val="uk-UA"/>
        </w:rPr>
        <w:t xml:space="preserve">тиметься </w:t>
      </w:r>
      <w:r w:rsidRPr="00C109FF">
        <w:rPr>
          <w:shd w:val="clear" w:color="auto" w:fill="FFFFFF"/>
          <w:lang w:val="uk-UA"/>
        </w:rPr>
        <w:t xml:space="preserve">виходячи із середньої заробітної плати працівника </w:t>
      </w:r>
      <w:r>
        <w:rPr>
          <w:shd w:val="clear" w:color="auto" w:fill="FFFFFF"/>
          <w:lang w:val="uk-UA"/>
        </w:rPr>
        <w:t>для даної місцевості (місце відкриття виконавчого провадження), а у разі якщо такий платник чи стягувач пред’явить державному виконавцю докази доходів, заборгованість за аліментами буде відповідно перерахована.</w:t>
      </w:r>
    </w:p>
    <w:p w:rsidR="00C05B81" w:rsidRPr="00C109FF" w:rsidRDefault="00C05B81" w:rsidP="00C05B81">
      <w:pPr>
        <w:pStyle w:val="rvps7"/>
        <w:spacing w:before="0" w:beforeAutospacing="0" w:after="0" w:afterAutospacing="0" w:line="276" w:lineRule="auto"/>
        <w:ind w:firstLine="414"/>
        <w:jc w:val="both"/>
        <w:rPr>
          <w:rFonts w:ascii="Myriad Pro" w:hAnsi="Myriad Pro"/>
          <w:color w:val="262626"/>
          <w:sz w:val="21"/>
          <w:szCs w:val="21"/>
          <w:shd w:val="clear" w:color="auto" w:fill="FFFFFF"/>
          <w:lang w:val="uk-UA"/>
        </w:rPr>
      </w:pPr>
    </w:p>
    <w:p w:rsidR="00C05B81" w:rsidRDefault="00C05B81" w:rsidP="00C05B81">
      <w:pPr>
        <w:pStyle w:val="rvps7"/>
        <w:spacing w:before="0" w:beforeAutospacing="0" w:after="0" w:afterAutospacing="0"/>
        <w:ind w:firstLine="414"/>
        <w:jc w:val="both"/>
        <w:rPr>
          <w:lang w:val="uk-UA"/>
        </w:rPr>
      </w:pPr>
      <w:r w:rsidRPr="00C109FF">
        <w:rPr>
          <w:b/>
          <w:lang w:val="uk-UA"/>
        </w:rPr>
        <w:t xml:space="preserve">Резюме: </w:t>
      </w:r>
      <w:r w:rsidRPr="00C109FF">
        <w:rPr>
          <w:lang w:val="uk-UA"/>
        </w:rPr>
        <w:t>Внесення змін до ст. 195 Сімейного кодексу України сприяє чіткому визначенн</w:t>
      </w:r>
      <w:r>
        <w:rPr>
          <w:lang w:val="uk-UA"/>
        </w:rPr>
        <w:t>ю</w:t>
      </w:r>
      <w:r w:rsidRPr="00C109FF">
        <w:rPr>
          <w:lang w:val="uk-UA"/>
        </w:rPr>
        <w:t xml:space="preserve"> порядку стягнення заборгованості за аліментами для різних категорій їх платників, щодо яких в чинному законодавстві та судовій практиці існували прогалини чи протиріччя</w:t>
      </w:r>
      <w:r>
        <w:rPr>
          <w:lang w:val="uk-UA"/>
        </w:rPr>
        <w:t xml:space="preserve">. </w:t>
      </w:r>
    </w:p>
    <w:p w:rsidR="00C05B81" w:rsidRDefault="00C05B81" w:rsidP="00C05B81">
      <w:pPr>
        <w:pStyle w:val="rvps7"/>
        <w:spacing w:before="0" w:beforeAutospacing="0" w:after="0" w:afterAutospacing="0"/>
        <w:ind w:firstLine="414"/>
        <w:jc w:val="both"/>
        <w:rPr>
          <w:lang w:val="uk-UA"/>
        </w:rPr>
      </w:pPr>
    </w:p>
    <w:p w:rsidR="00C05B81" w:rsidRPr="00C05B81" w:rsidRDefault="00C05B81" w:rsidP="00C05B81">
      <w:pPr>
        <w:pStyle w:val="rvps7"/>
        <w:spacing w:before="0" w:beforeAutospacing="0" w:after="0" w:afterAutospacing="0"/>
        <w:ind w:firstLine="426"/>
        <w:jc w:val="both"/>
        <w:rPr>
          <w:lang w:val="uk-UA"/>
        </w:rPr>
      </w:pPr>
      <w:proofErr w:type="spellStart"/>
      <w:r w:rsidRPr="00C05B81">
        <w:t>Юридичне</w:t>
      </w:r>
      <w:proofErr w:type="spellEnd"/>
      <w:r w:rsidRPr="00C05B81">
        <w:t xml:space="preserve"> агентство </w:t>
      </w:r>
      <w:proofErr w:type="spellStart"/>
      <w:r w:rsidRPr="00C05B81">
        <w:t>Ганни</w:t>
      </w:r>
      <w:proofErr w:type="spellEnd"/>
      <w:r w:rsidRPr="00C05B81">
        <w:t xml:space="preserve"> </w:t>
      </w:r>
      <w:proofErr w:type="spellStart"/>
      <w:r w:rsidRPr="00C05B81">
        <w:t>Гаро</w:t>
      </w:r>
      <w:proofErr w:type="spellEnd"/>
      <w:r w:rsidRPr="00C05B81">
        <w:t xml:space="preserve"> </w:t>
      </w:r>
      <w:proofErr w:type="spellStart"/>
      <w:proofErr w:type="gramStart"/>
      <w:r w:rsidRPr="00C05B81">
        <w:t>спец</w:t>
      </w:r>
      <w:proofErr w:type="gramEnd"/>
      <w:r w:rsidRPr="00C05B81">
        <w:t>іалізується</w:t>
      </w:r>
      <w:proofErr w:type="spellEnd"/>
      <w:r w:rsidRPr="00C05B81">
        <w:t xml:space="preserve"> на </w:t>
      </w:r>
      <w:proofErr w:type="spellStart"/>
      <w:r w:rsidRPr="00C05B81">
        <w:t>сімейних</w:t>
      </w:r>
      <w:proofErr w:type="spellEnd"/>
      <w:r w:rsidRPr="00C05B81">
        <w:t xml:space="preserve"> справах, а тому </w:t>
      </w:r>
      <w:proofErr w:type="spellStart"/>
      <w:r w:rsidRPr="00C05B81">
        <w:t>фахово</w:t>
      </w:r>
      <w:proofErr w:type="spellEnd"/>
      <w:r w:rsidRPr="00C05B81">
        <w:t xml:space="preserve"> та оперативно </w:t>
      </w:r>
      <w:proofErr w:type="spellStart"/>
      <w:r w:rsidRPr="00C05B81">
        <w:t>надасть</w:t>
      </w:r>
      <w:proofErr w:type="spellEnd"/>
      <w:r w:rsidRPr="00C05B81">
        <w:t xml:space="preserve"> </w:t>
      </w:r>
      <w:proofErr w:type="spellStart"/>
      <w:r w:rsidRPr="00C05B81">
        <w:t>правову</w:t>
      </w:r>
      <w:proofErr w:type="spellEnd"/>
      <w:r w:rsidRPr="00C05B81">
        <w:t xml:space="preserve"> </w:t>
      </w:r>
      <w:proofErr w:type="spellStart"/>
      <w:r w:rsidRPr="00C05B81">
        <w:t>допомогу</w:t>
      </w:r>
      <w:proofErr w:type="spellEnd"/>
      <w:r w:rsidRPr="00C05B81">
        <w:t xml:space="preserve"> у </w:t>
      </w:r>
      <w:proofErr w:type="spellStart"/>
      <w:r w:rsidRPr="00C05B81">
        <w:t>психологічно</w:t>
      </w:r>
      <w:proofErr w:type="spellEnd"/>
      <w:r w:rsidRPr="00C05B81">
        <w:t xml:space="preserve"> </w:t>
      </w:r>
      <w:proofErr w:type="spellStart"/>
      <w:r w:rsidRPr="00C05B81">
        <w:t>складній</w:t>
      </w:r>
      <w:proofErr w:type="spellEnd"/>
      <w:r w:rsidRPr="00C05B81">
        <w:t xml:space="preserve"> </w:t>
      </w:r>
      <w:proofErr w:type="spellStart"/>
      <w:r w:rsidRPr="00C05B81">
        <w:t>категорії</w:t>
      </w:r>
      <w:proofErr w:type="spellEnd"/>
      <w:r w:rsidRPr="00C05B81">
        <w:t xml:space="preserve"> </w:t>
      </w:r>
      <w:proofErr w:type="spellStart"/>
      <w:r w:rsidRPr="00C05B81">
        <w:t>сімейних</w:t>
      </w:r>
      <w:proofErr w:type="spellEnd"/>
      <w:r w:rsidRPr="00C05B81">
        <w:t xml:space="preserve"> справ </w:t>
      </w:r>
      <w:hyperlink r:id="rId5" w:tgtFrame="_blank" w:history="1">
        <w:r w:rsidRPr="00C05B81">
          <w:rPr>
            <w:rStyle w:val="a3"/>
            <w:color w:val="8C68CB"/>
            <w:bdr w:val="none" w:sz="0" w:space="0" w:color="auto" w:frame="1"/>
          </w:rPr>
          <w:t>www.gannagaroagency.com</w:t>
        </w:r>
      </w:hyperlink>
    </w:p>
    <w:p w:rsidR="006A5EBD" w:rsidRPr="00C05B81" w:rsidRDefault="006A5EBD">
      <w:pPr>
        <w:rPr>
          <w:sz w:val="28"/>
          <w:szCs w:val="28"/>
        </w:rPr>
      </w:pPr>
    </w:p>
    <w:sectPr w:rsidR="006A5EBD" w:rsidRPr="00C05B81" w:rsidSect="005F30F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D1C"/>
    <w:multiLevelType w:val="hybridMultilevel"/>
    <w:tmpl w:val="173A8F22"/>
    <w:lvl w:ilvl="0" w:tplc="7C646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gutterAtTop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05B81"/>
    <w:rsid w:val="005F30F5"/>
    <w:rsid w:val="00621FCF"/>
    <w:rsid w:val="006A5EBD"/>
    <w:rsid w:val="00B60262"/>
    <w:rsid w:val="00C05B81"/>
    <w:rsid w:val="00C235E3"/>
    <w:rsid w:val="00DB41F2"/>
    <w:rsid w:val="00E16504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B81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5B81"/>
    <w:pPr>
      <w:ind w:left="720"/>
      <w:contextualSpacing/>
    </w:pPr>
  </w:style>
  <w:style w:type="paragraph" w:customStyle="1" w:styleId="rvps2">
    <w:name w:val="rvps2"/>
    <w:basedOn w:val="a"/>
    <w:rsid w:val="00C05B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Typewriter">
    <w:name w:val="Typewriter"/>
    <w:rsid w:val="00C05B81"/>
    <w:rPr>
      <w:rFonts w:ascii="Courier New" w:hAnsi="Courier New"/>
      <w:sz w:val="20"/>
    </w:rPr>
  </w:style>
  <w:style w:type="paragraph" w:customStyle="1" w:styleId="rvps7">
    <w:name w:val="rvps7"/>
    <w:basedOn w:val="a"/>
    <w:rsid w:val="00C05B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C05B81"/>
    <w:pPr>
      <w:spacing w:after="60" w:line="220" w:lineRule="exact"/>
      <w:ind w:firstLine="284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nnagaroagenc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2017-06-27T09:19:00Z</dcterms:created>
  <dcterms:modified xsi:type="dcterms:W3CDTF">2017-06-27T09:43:00Z</dcterms:modified>
</cp:coreProperties>
</file>